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E1E" w14:textId="4E4F61EA" w:rsidR="00EE1240" w:rsidRDefault="00EE1240" w:rsidP="00EE1240">
      <w:pPr>
        <w:jc w:val="center"/>
        <w:rPr>
          <w:rFonts w:asciiTheme="majorHAnsi" w:hAnsiTheme="majorHAnsi"/>
          <w:sz w:val="48"/>
          <w:szCs w:val="48"/>
        </w:rPr>
      </w:pPr>
      <w:r w:rsidRPr="00EE1240">
        <w:rPr>
          <w:rFonts w:asciiTheme="majorHAnsi" w:hAnsiTheme="majorHAnsi"/>
          <w:sz w:val="48"/>
          <w:szCs w:val="48"/>
        </w:rPr>
        <w:t>Risk Management Toolkit SRE’s</w:t>
      </w:r>
      <w:r>
        <w:rPr>
          <w:rFonts w:asciiTheme="majorHAnsi" w:hAnsiTheme="majorHAnsi"/>
          <w:sz w:val="48"/>
          <w:szCs w:val="48"/>
        </w:rPr>
        <w:t xml:space="preserve"> Crosswalk</w:t>
      </w:r>
      <w:r w:rsidR="00536DE2">
        <w:rPr>
          <w:rFonts w:asciiTheme="majorHAnsi" w:hAnsiTheme="majorHAnsi"/>
          <w:sz w:val="48"/>
          <w:szCs w:val="48"/>
        </w:rPr>
        <w:t xml:space="preserve"> PTA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E1240" w14:paraId="1CF17B66" w14:textId="77777777" w:rsidTr="00EE1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1A4293CA" w14:textId="604B3DD7" w:rsidR="00EE1240" w:rsidRPr="00EE1240" w:rsidRDefault="00EE1240" w:rsidP="00EE1240">
            <w:pPr>
              <w:pStyle w:val="ListParagraph"/>
            </w:pPr>
            <w:r>
              <w:t>Module 1: Malpractice 101and Managing Adverse Events</w:t>
            </w:r>
          </w:p>
        </w:tc>
        <w:tc>
          <w:tcPr>
            <w:tcW w:w="4317" w:type="dxa"/>
          </w:tcPr>
          <w:p w14:paraId="072C6E66" w14:textId="58381DF8" w:rsidR="00EE1240" w:rsidRPr="00EE1240" w:rsidRDefault="00EE1240" w:rsidP="00EE124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2: Provider Relationship Challenges</w:t>
            </w:r>
          </w:p>
        </w:tc>
        <w:tc>
          <w:tcPr>
            <w:tcW w:w="4317" w:type="dxa"/>
          </w:tcPr>
          <w:p w14:paraId="4E93F381" w14:textId="16BE043C" w:rsidR="00EE1240" w:rsidRPr="00EE1240" w:rsidRDefault="00EE1240" w:rsidP="00EE124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Module 3: Protecting Your License Against Common State Board of </w:t>
            </w:r>
            <w:proofErr w:type="gramStart"/>
            <w:r>
              <w:t>physical</w:t>
            </w:r>
            <w:proofErr w:type="gramEnd"/>
            <w:r>
              <w:t xml:space="preserve"> Therapy Matters</w:t>
            </w:r>
          </w:p>
        </w:tc>
      </w:tr>
      <w:tr w:rsidR="00EE1240" w14:paraId="5013A291" w14:textId="77777777" w:rsidTr="00EE1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7717C23B" w14:textId="2FF88B1F" w:rsidR="00EE1240" w:rsidRPr="00EE1240" w:rsidRDefault="00EE1240" w:rsidP="00EE1240">
            <w:pPr>
              <w:rPr>
                <w:b w:val="0"/>
                <w:bCs w:val="0"/>
              </w:rPr>
            </w:pPr>
            <w:r w:rsidRPr="00EE1240">
              <w:t>7B1</w:t>
            </w:r>
            <w:r w:rsidRPr="00EE1240">
              <w:rPr>
                <w:b w:val="0"/>
                <w:bCs w:val="0"/>
              </w:rPr>
              <w:t xml:space="preserve"> Practice in a manner consistent with the Stands of Ethical Conduct (APTA) and APTA Core Values for the Physical Therapist and Physical Therapist Assistant.</w:t>
            </w:r>
          </w:p>
        </w:tc>
        <w:tc>
          <w:tcPr>
            <w:tcW w:w="4317" w:type="dxa"/>
          </w:tcPr>
          <w:p w14:paraId="65834AE4" w14:textId="37390F78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EE1240">
              <w:rPr>
                <w:b/>
                <w:bCs/>
              </w:rPr>
              <w:t xml:space="preserve">7B1 </w:t>
            </w:r>
            <w:r w:rsidRPr="00EE1240">
              <w:t>Practice in a manner consistent with the Stands of Ethical Conduct (APTA) and APTA Core Values for the Physical Therapist and Physical Therapist Assistant.</w:t>
            </w:r>
          </w:p>
        </w:tc>
        <w:tc>
          <w:tcPr>
            <w:tcW w:w="4317" w:type="dxa"/>
          </w:tcPr>
          <w:p w14:paraId="78DCF799" w14:textId="3232D85F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EE1240">
              <w:rPr>
                <w:b/>
                <w:bCs/>
              </w:rPr>
              <w:t xml:space="preserve">7B1 </w:t>
            </w:r>
            <w:r w:rsidRPr="00EE1240">
              <w:t>Practice in a manner consistent with the Stands of Ethical Conduct (APTA) and APTA Core Values for the Physical Therapist and Physical Therapist Assistant.</w:t>
            </w:r>
          </w:p>
        </w:tc>
      </w:tr>
      <w:tr w:rsidR="00EE1240" w14:paraId="18C4262C" w14:textId="77777777" w:rsidTr="00EE1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1C50636E" w14:textId="5521B16F" w:rsidR="00EE1240" w:rsidRPr="00EE1240" w:rsidRDefault="00EE1240" w:rsidP="00EE1240">
            <w:r>
              <w:t xml:space="preserve">7B2 </w:t>
            </w:r>
            <w:r w:rsidRPr="00EE1240">
              <w:rPr>
                <w:b w:val="0"/>
                <w:bCs w:val="0"/>
              </w:rPr>
              <w:t xml:space="preserve">Provide learning experiences to develop service and leadership skills and abilities that address the </w:t>
            </w:r>
            <w:proofErr w:type="gramStart"/>
            <w:r w:rsidRPr="00EE1240">
              <w:rPr>
                <w:b w:val="0"/>
                <w:bCs w:val="0"/>
              </w:rPr>
              <w:t>following: •</w:t>
            </w:r>
            <w:proofErr w:type="gramEnd"/>
            <w:r w:rsidRPr="00EE1240">
              <w:rPr>
                <w:b w:val="0"/>
                <w:bCs w:val="0"/>
              </w:rPr>
              <w:t xml:space="preserve"> Legislative and political advocacy. • Community collaboration. • Health care disparity</w:t>
            </w:r>
          </w:p>
        </w:tc>
        <w:tc>
          <w:tcPr>
            <w:tcW w:w="4317" w:type="dxa"/>
          </w:tcPr>
          <w:p w14:paraId="530322C4" w14:textId="38591BAD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b/>
                <w:bCs/>
              </w:rPr>
              <w:t xml:space="preserve">7B3 </w:t>
            </w:r>
            <w:r w:rsidRPr="00EE1240">
              <w:t>Practice within the legal framework of one’s jurisdiction(s) and relevant federal and state requirements.</w:t>
            </w:r>
          </w:p>
        </w:tc>
        <w:tc>
          <w:tcPr>
            <w:tcW w:w="4317" w:type="dxa"/>
          </w:tcPr>
          <w:p w14:paraId="3A598EB2" w14:textId="0C8DC88D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b/>
                <w:bCs/>
              </w:rPr>
              <w:t xml:space="preserve">7B3 </w:t>
            </w:r>
            <w:r w:rsidRPr="00EE1240">
              <w:t>Practice within the legal framework of one’s jurisdiction(s) and relevant federal and state requirements.</w:t>
            </w:r>
          </w:p>
        </w:tc>
      </w:tr>
      <w:tr w:rsidR="00EE1240" w14:paraId="7F9401B0" w14:textId="77777777" w:rsidTr="00EE1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37F921DA" w14:textId="3A93561A" w:rsidR="00EE1240" w:rsidRPr="00EE1240" w:rsidRDefault="00EE1240" w:rsidP="00EE1240">
            <w:pPr>
              <w:rPr>
                <w:b w:val="0"/>
                <w:bCs w:val="0"/>
              </w:rPr>
            </w:pPr>
            <w:r>
              <w:t xml:space="preserve">7B3 </w:t>
            </w:r>
            <w:r w:rsidRPr="00EE1240">
              <w:rPr>
                <w:b w:val="0"/>
                <w:bCs w:val="0"/>
              </w:rPr>
              <w:t>Practice within the legal framework of one’s jurisdiction(s) and relevant federal and state requirements.</w:t>
            </w:r>
          </w:p>
        </w:tc>
        <w:tc>
          <w:tcPr>
            <w:tcW w:w="4317" w:type="dxa"/>
          </w:tcPr>
          <w:p w14:paraId="7CA27062" w14:textId="77777777" w:rsidR="001F6DD3" w:rsidRDefault="001F6DD3" w:rsidP="001F6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7D4 </w:t>
            </w:r>
            <w:r w:rsidRPr="002A4E42">
              <w:t>Complete documentation that follows guidelines and documentation formats required by the legal framework of one’s jurisdiction, the practice setting, and other regulatory agencies.</w:t>
            </w:r>
          </w:p>
          <w:p w14:paraId="6B94870D" w14:textId="77777777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4317" w:type="dxa"/>
          </w:tcPr>
          <w:p w14:paraId="3D7C31C6" w14:textId="77777777" w:rsidR="00EE1240" w:rsidRDefault="00EE1240" w:rsidP="00EE1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7D1 </w:t>
            </w:r>
            <w:r w:rsidRPr="00CD5313">
              <w:t xml:space="preserve">Demonstrate appropriate clinical decisions and actions throughout the implementation of the plan of care established by the physical </w:t>
            </w:r>
            <w:proofErr w:type="gramStart"/>
            <w:r w:rsidRPr="00CD5313">
              <w:t>therapist: •</w:t>
            </w:r>
            <w:proofErr w:type="gramEnd"/>
            <w:r w:rsidRPr="00CD5313">
              <w:t xml:space="preserve"> Obtain and review current information from physical therapy documentation, health records, patients and clients, caregivers, and family members related to general health status, </w:t>
            </w:r>
            <w:proofErr w:type="gramStart"/>
            <w:r w:rsidRPr="00CD5313">
              <w:t>consults</w:t>
            </w:r>
            <w:proofErr w:type="gramEnd"/>
            <w:r w:rsidRPr="00CD5313">
              <w:t xml:space="preserve">, prior and current level of function before carrying out the physical therapy plan of care. • Recognize situations that require further clarification, </w:t>
            </w:r>
            <w:r w:rsidRPr="00CD5313">
              <w:lastRenderedPageBreak/>
              <w:t>supervision, or action by the supervising physical therapist. • Determine when an intervention is inappropriate based on the review of current information and patient presentation. • Select interventions as determined by the supervising physical therapist, that are based on clinical data, to achieve goals and intended outcomes. • Modify, adjust, and discontinue interventions based on the patient response and clinical data in collaboration with the supervising physical therapist. • Contribute to the discontinuation of the episode of</w:t>
            </w:r>
            <w:r w:rsidRPr="00CD5313">
              <w:rPr>
                <w:b/>
                <w:bCs/>
              </w:rPr>
              <w:t xml:space="preserve"> </w:t>
            </w:r>
            <w:r w:rsidRPr="00CD5313">
              <w:t>care and follow-up planning as directed by the supervising physical therapist. • Describe a patient’s or client’s impairments to body functions and structures, activity limitations, and participation restrictions according to the International Classification of Functioning, Disability and Health (ICF).</w:t>
            </w:r>
          </w:p>
          <w:p w14:paraId="3C0DFC47" w14:textId="77777777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E1240" w14:paraId="4EBA0CCA" w14:textId="77777777" w:rsidTr="00EE1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6C11AB3B" w14:textId="1AE38254" w:rsidR="00EE1240" w:rsidRPr="00EE1240" w:rsidRDefault="00EE1240" w:rsidP="00EE1240">
            <w:r>
              <w:lastRenderedPageBreak/>
              <w:t xml:space="preserve">7D5 </w:t>
            </w:r>
            <w:r w:rsidRPr="00EE1240">
              <w:rPr>
                <w:b w:val="0"/>
                <w:bCs w:val="0"/>
              </w:rPr>
              <w:t>Respond effectively to environmental emergencies that may occur in the clinical setting.</w:t>
            </w:r>
          </w:p>
        </w:tc>
        <w:tc>
          <w:tcPr>
            <w:tcW w:w="4317" w:type="dxa"/>
          </w:tcPr>
          <w:p w14:paraId="7CE2DEA8" w14:textId="5B35916F" w:rsidR="00EE1240" w:rsidRDefault="001F6DD3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b/>
                <w:bCs/>
              </w:rPr>
              <w:t xml:space="preserve">7D7 </w:t>
            </w:r>
            <w:r w:rsidRPr="001F6DD3">
              <w:t>Participate in efforts to ensure patient and health care provider safety.</w:t>
            </w:r>
          </w:p>
        </w:tc>
        <w:tc>
          <w:tcPr>
            <w:tcW w:w="4317" w:type="dxa"/>
          </w:tcPr>
          <w:p w14:paraId="64519CA5" w14:textId="77777777" w:rsidR="001F6DD3" w:rsidRDefault="001F6DD3" w:rsidP="001F6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7D4 </w:t>
            </w:r>
            <w:r w:rsidRPr="002A4E42">
              <w:t>Complete documentation that follows guidelines and documentation formats required by the legal framework of one’s jurisdiction, the practice setting, and other regulatory agencies.</w:t>
            </w:r>
          </w:p>
          <w:p w14:paraId="2684C659" w14:textId="77777777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EE1240" w14:paraId="42277703" w14:textId="77777777" w:rsidTr="00EE1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52896DA9" w14:textId="3225C60B" w:rsidR="00EE1240" w:rsidRPr="00EE1240" w:rsidRDefault="00EE1240" w:rsidP="00EE1240">
            <w:pPr>
              <w:rPr>
                <w:b w:val="0"/>
                <w:bCs w:val="0"/>
              </w:rPr>
            </w:pPr>
            <w:r>
              <w:lastRenderedPageBreak/>
              <w:t xml:space="preserve">7D7 </w:t>
            </w:r>
            <w:r w:rsidRPr="00EE1240">
              <w:rPr>
                <w:b w:val="0"/>
                <w:bCs w:val="0"/>
              </w:rPr>
              <w:t>Participate in efforts to ensure patient and health care provider safety.</w:t>
            </w:r>
          </w:p>
        </w:tc>
        <w:tc>
          <w:tcPr>
            <w:tcW w:w="4317" w:type="dxa"/>
          </w:tcPr>
          <w:p w14:paraId="66A36455" w14:textId="77777777" w:rsidR="001F6DD3" w:rsidRDefault="001F6DD3" w:rsidP="001F6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7D8 </w:t>
            </w:r>
            <w:r>
              <w:t>Participate in patient-centered interprofessional collaborative care.</w:t>
            </w:r>
          </w:p>
          <w:p w14:paraId="7D40C2C9" w14:textId="77777777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4317" w:type="dxa"/>
          </w:tcPr>
          <w:p w14:paraId="387D836B" w14:textId="77777777" w:rsidR="00EE1240" w:rsidRDefault="00EE1240" w:rsidP="00EE1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</w:tbl>
    <w:p w14:paraId="3EE701DE" w14:textId="77777777" w:rsidR="00EE1240" w:rsidRPr="00EE1240" w:rsidRDefault="00EE1240" w:rsidP="00EE1240">
      <w:pPr>
        <w:jc w:val="center"/>
        <w:rPr>
          <w:sz w:val="48"/>
          <w:szCs w:val="48"/>
        </w:rPr>
      </w:pPr>
    </w:p>
    <w:p w14:paraId="054D136B" w14:textId="77777777" w:rsidR="00EE1240" w:rsidRDefault="00EE1240" w:rsidP="00EE1240">
      <w:pPr>
        <w:jc w:val="center"/>
        <w:rPr>
          <w:rFonts w:asciiTheme="majorHAnsi" w:hAnsiTheme="majorHAnsi"/>
          <w:sz w:val="48"/>
          <w:szCs w:val="48"/>
        </w:rPr>
      </w:pPr>
    </w:p>
    <w:p w14:paraId="73347F13" w14:textId="77777777" w:rsidR="00EE1240" w:rsidRPr="00EE1240" w:rsidRDefault="00EE1240" w:rsidP="00EE1240">
      <w:pPr>
        <w:jc w:val="center"/>
        <w:rPr>
          <w:rFonts w:asciiTheme="majorHAnsi" w:hAnsiTheme="majorHAnsi"/>
          <w:sz w:val="48"/>
          <w:szCs w:val="48"/>
        </w:rPr>
      </w:pPr>
    </w:p>
    <w:p w14:paraId="7E5FD52D" w14:textId="77777777" w:rsidR="00EE1240" w:rsidRDefault="00EE1240"/>
    <w:sectPr w:rsidR="00EE1240" w:rsidSect="00EE12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B3DC0"/>
    <w:multiLevelType w:val="hybridMultilevel"/>
    <w:tmpl w:val="AEF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40"/>
    <w:rsid w:val="000A2916"/>
    <w:rsid w:val="00173249"/>
    <w:rsid w:val="001F6DD3"/>
    <w:rsid w:val="00536DE2"/>
    <w:rsid w:val="009D410E"/>
    <w:rsid w:val="00AA4374"/>
    <w:rsid w:val="00D13B7B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C19"/>
  <w15:chartTrackingRefBased/>
  <w15:docId w15:val="{B3125A62-9829-4F1F-BCA0-D25DE13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40"/>
  </w:style>
  <w:style w:type="paragraph" w:styleId="Heading1">
    <w:name w:val="heading 1"/>
    <w:basedOn w:val="Normal"/>
    <w:next w:val="Normal"/>
    <w:link w:val="Heading1Char"/>
    <w:uiPriority w:val="9"/>
    <w:qFormat/>
    <w:rsid w:val="00EE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12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Paulson, Dawn</cp:lastModifiedBy>
  <cp:revision>2</cp:revision>
  <dcterms:created xsi:type="dcterms:W3CDTF">2025-07-25T18:38:00Z</dcterms:created>
  <dcterms:modified xsi:type="dcterms:W3CDTF">2025-07-25T18:38:00Z</dcterms:modified>
</cp:coreProperties>
</file>